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68AC" w:rsidRPr="00297547" w:rsidRDefault="007068AC" w:rsidP="0052220A">
      <w:pPr>
        <w:rPr>
          <w:rFonts w:cstheme="minorHAnsi"/>
          <w:b/>
          <w:sz w:val="28"/>
          <w:szCs w:val="28"/>
        </w:rPr>
      </w:pPr>
      <w:bookmarkStart w:id="0" w:name="_GoBack"/>
      <w:bookmarkEnd w:id="0"/>
      <w:r w:rsidRPr="00297547">
        <w:rPr>
          <w:rFonts w:cstheme="minorHAnsi"/>
          <w:b/>
          <w:sz w:val="28"/>
          <w:szCs w:val="28"/>
        </w:rPr>
        <w:t>Broward Attribution Statement</w:t>
      </w:r>
    </w:p>
    <w:p w:rsidR="008E21AB" w:rsidRPr="00E23F53" w:rsidRDefault="00ED53C7" w:rsidP="0052220A">
      <w:pPr>
        <w:rPr>
          <w:rFonts w:cstheme="minorHAnsi"/>
          <w:sz w:val="24"/>
          <w:szCs w:val="24"/>
        </w:rPr>
      </w:pPr>
      <w:r w:rsidRPr="00E23F53">
        <w:rPr>
          <w:rFonts w:cstheme="minorHAnsi"/>
          <w:sz w:val="24"/>
          <w:szCs w:val="24"/>
        </w:rPr>
        <w:t>The</w:t>
      </w:r>
      <w:r w:rsidR="008E21AB" w:rsidRPr="00E23F53">
        <w:rPr>
          <w:rFonts w:cstheme="minorHAnsi"/>
          <w:sz w:val="24"/>
          <w:szCs w:val="24"/>
        </w:rPr>
        <w:t xml:space="preserve"> </w:t>
      </w:r>
      <w:r w:rsidR="008E21AB" w:rsidRPr="00E23F53">
        <w:rPr>
          <w:rFonts w:cstheme="minorHAnsi"/>
          <w:i/>
          <w:sz w:val="24"/>
          <w:szCs w:val="24"/>
        </w:rPr>
        <w:t>Broward Complete Streets</w:t>
      </w:r>
      <w:r w:rsidRPr="00E23F53">
        <w:rPr>
          <w:rFonts w:cstheme="minorHAnsi"/>
          <w:i/>
          <w:sz w:val="24"/>
          <w:szCs w:val="24"/>
        </w:rPr>
        <w:t xml:space="preserve"> Guidelines</w:t>
      </w:r>
      <w:r w:rsidRPr="00E23F53">
        <w:rPr>
          <w:rFonts w:cstheme="minorHAnsi"/>
          <w:sz w:val="24"/>
          <w:szCs w:val="24"/>
        </w:rPr>
        <w:t xml:space="preserve"> represent six months of work to transform the</w:t>
      </w:r>
      <w:r w:rsidR="008E21AB" w:rsidRPr="00E23F53">
        <w:rPr>
          <w:rFonts w:cstheme="minorHAnsi"/>
          <w:sz w:val="24"/>
          <w:szCs w:val="24"/>
        </w:rPr>
        <w:t xml:space="preserve"> 2011 </w:t>
      </w:r>
      <w:r w:rsidR="008E21AB" w:rsidRPr="00E23F53">
        <w:rPr>
          <w:rFonts w:cstheme="minorHAnsi"/>
          <w:i/>
          <w:sz w:val="24"/>
          <w:szCs w:val="24"/>
        </w:rPr>
        <w:t>Los Angeles</w:t>
      </w:r>
      <w:r w:rsidRPr="00E23F53">
        <w:rPr>
          <w:rFonts w:cstheme="minorHAnsi"/>
          <w:i/>
          <w:sz w:val="24"/>
          <w:szCs w:val="24"/>
        </w:rPr>
        <w:t xml:space="preserve"> </w:t>
      </w:r>
      <w:r w:rsidR="00A44CEA" w:rsidRPr="00E23F53">
        <w:rPr>
          <w:rFonts w:cstheme="minorHAnsi"/>
          <w:i/>
          <w:sz w:val="24"/>
          <w:szCs w:val="24"/>
        </w:rPr>
        <w:t xml:space="preserve">County </w:t>
      </w:r>
      <w:r w:rsidR="008E21AB" w:rsidRPr="00E23F53">
        <w:rPr>
          <w:rFonts w:cstheme="minorHAnsi"/>
          <w:i/>
          <w:sz w:val="24"/>
          <w:szCs w:val="24"/>
        </w:rPr>
        <w:t>Model Design Manual for Living Streets</w:t>
      </w:r>
      <w:r w:rsidR="008E21AB" w:rsidRPr="00E23F53">
        <w:rPr>
          <w:rFonts w:cstheme="minorHAnsi"/>
          <w:sz w:val="24"/>
          <w:szCs w:val="24"/>
        </w:rPr>
        <w:t xml:space="preserve"> </w:t>
      </w:r>
      <w:r w:rsidRPr="00E23F53">
        <w:rPr>
          <w:rFonts w:cstheme="minorHAnsi"/>
          <w:sz w:val="24"/>
          <w:szCs w:val="24"/>
        </w:rPr>
        <w:t xml:space="preserve">into a customized document for </w:t>
      </w:r>
      <w:r w:rsidR="008E21AB" w:rsidRPr="00E23F53">
        <w:rPr>
          <w:rFonts w:cstheme="minorHAnsi"/>
          <w:sz w:val="24"/>
          <w:szCs w:val="24"/>
        </w:rPr>
        <w:t>use by all of Broward’s local jurisdictions</w:t>
      </w:r>
      <w:r w:rsidRPr="00E23F53">
        <w:rPr>
          <w:rFonts w:cstheme="minorHAnsi"/>
          <w:sz w:val="24"/>
          <w:szCs w:val="24"/>
        </w:rPr>
        <w:t xml:space="preserve">.  </w:t>
      </w:r>
    </w:p>
    <w:p w:rsidR="00465A51" w:rsidRPr="00E23F53" w:rsidRDefault="00ED53C7" w:rsidP="00AA3026">
      <w:pPr>
        <w:rPr>
          <w:rFonts w:cstheme="minorHAnsi"/>
          <w:sz w:val="24"/>
          <w:szCs w:val="24"/>
        </w:rPr>
      </w:pPr>
      <w:r w:rsidRPr="00E23F53">
        <w:rPr>
          <w:rFonts w:cstheme="minorHAnsi"/>
          <w:sz w:val="24"/>
          <w:szCs w:val="24"/>
        </w:rPr>
        <w:t>This work wa</w:t>
      </w:r>
      <w:r w:rsidR="0052220A" w:rsidRPr="00E23F53">
        <w:rPr>
          <w:rFonts w:cstheme="minorHAnsi"/>
          <w:sz w:val="24"/>
          <w:szCs w:val="24"/>
        </w:rPr>
        <w:t xml:space="preserve">s made possible </w:t>
      </w:r>
      <w:proofErr w:type="gramStart"/>
      <w:r w:rsidR="0052220A" w:rsidRPr="00E23F53">
        <w:rPr>
          <w:rFonts w:cstheme="minorHAnsi"/>
          <w:sz w:val="24"/>
          <w:szCs w:val="24"/>
        </w:rPr>
        <w:t>through a Center</w:t>
      </w:r>
      <w:r w:rsidR="00297547" w:rsidRPr="00E23F53">
        <w:rPr>
          <w:rFonts w:cstheme="minorHAnsi"/>
          <w:sz w:val="24"/>
          <w:szCs w:val="24"/>
        </w:rPr>
        <w:t>s</w:t>
      </w:r>
      <w:proofErr w:type="gramEnd"/>
      <w:r w:rsidR="0052220A" w:rsidRPr="00E23F53">
        <w:rPr>
          <w:rFonts w:cstheme="minorHAnsi"/>
          <w:sz w:val="24"/>
          <w:szCs w:val="24"/>
        </w:rPr>
        <w:t xml:space="preserve"> for Disease Control and Prevention (CDC) grant, the Transforming Our Community’s Health (TOUCH) Initiative, administered by the Broward Regional Health Planning Council (BRHPC).  </w:t>
      </w:r>
      <w:r w:rsidR="008E21AB" w:rsidRPr="00E23F53">
        <w:rPr>
          <w:rFonts w:cstheme="minorHAnsi"/>
          <w:sz w:val="24"/>
          <w:szCs w:val="24"/>
        </w:rPr>
        <w:t xml:space="preserve">To help execute this project, </w:t>
      </w:r>
      <w:r w:rsidR="0052220A" w:rsidRPr="00E23F53">
        <w:rPr>
          <w:rFonts w:cstheme="minorHAnsi"/>
          <w:sz w:val="24"/>
          <w:szCs w:val="24"/>
        </w:rPr>
        <w:t>Urban Health Partnerships, a</w:t>
      </w:r>
      <w:r w:rsidR="008E21AB" w:rsidRPr="00E23F53">
        <w:rPr>
          <w:rFonts w:cstheme="minorHAnsi"/>
          <w:sz w:val="24"/>
          <w:szCs w:val="24"/>
        </w:rPr>
        <w:t xml:space="preserve"> South Florida not-for-</w:t>
      </w:r>
      <w:r w:rsidR="007068AC" w:rsidRPr="00E23F53">
        <w:rPr>
          <w:rFonts w:cstheme="minorHAnsi"/>
          <w:sz w:val="24"/>
          <w:szCs w:val="24"/>
        </w:rPr>
        <w:t xml:space="preserve">profit </w:t>
      </w:r>
      <w:r w:rsidR="008E21AB" w:rsidRPr="00E23F53">
        <w:rPr>
          <w:rFonts w:cstheme="minorHAnsi"/>
          <w:sz w:val="24"/>
          <w:szCs w:val="24"/>
        </w:rPr>
        <w:t>organization, partnered with the</w:t>
      </w:r>
      <w:r w:rsidR="0052220A" w:rsidRPr="00E23F53">
        <w:rPr>
          <w:rFonts w:cstheme="minorHAnsi"/>
          <w:sz w:val="24"/>
          <w:szCs w:val="24"/>
        </w:rPr>
        <w:t xml:space="preserve"> Broward M</w:t>
      </w:r>
      <w:r w:rsidR="008E21AB" w:rsidRPr="00E23F53">
        <w:rPr>
          <w:rFonts w:cstheme="minorHAnsi"/>
          <w:sz w:val="24"/>
          <w:szCs w:val="24"/>
        </w:rPr>
        <w:t xml:space="preserve">etropolitan </w:t>
      </w:r>
      <w:r w:rsidR="0052220A" w:rsidRPr="00E23F53">
        <w:rPr>
          <w:rFonts w:cstheme="minorHAnsi"/>
          <w:sz w:val="24"/>
          <w:szCs w:val="24"/>
        </w:rPr>
        <w:t>P</w:t>
      </w:r>
      <w:r w:rsidR="008E21AB" w:rsidRPr="00E23F53">
        <w:rPr>
          <w:rFonts w:cstheme="minorHAnsi"/>
          <w:sz w:val="24"/>
          <w:szCs w:val="24"/>
        </w:rPr>
        <w:t xml:space="preserve">lanning </w:t>
      </w:r>
      <w:r w:rsidR="0052220A" w:rsidRPr="00E23F53">
        <w:rPr>
          <w:rFonts w:cstheme="minorHAnsi"/>
          <w:sz w:val="24"/>
          <w:szCs w:val="24"/>
        </w:rPr>
        <w:t>O</w:t>
      </w:r>
      <w:r w:rsidR="007068AC" w:rsidRPr="00E23F53">
        <w:rPr>
          <w:rFonts w:cstheme="minorHAnsi"/>
          <w:sz w:val="24"/>
          <w:szCs w:val="24"/>
        </w:rPr>
        <w:t>rganization</w:t>
      </w:r>
      <w:r w:rsidR="00403708" w:rsidRPr="00E23F53">
        <w:rPr>
          <w:rFonts w:cstheme="minorHAnsi"/>
          <w:sz w:val="24"/>
          <w:szCs w:val="24"/>
        </w:rPr>
        <w:t xml:space="preserve"> (MPO)</w:t>
      </w:r>
      <w:r w:rsidR="0052220A" w:rsidRPr="00E23F53">
        <w:rPr>
          <w:rFonts w:cstheme="minorHAnsi"/>
          <w:sz w:val="24"/>
          <w:szCs w:val="24"/>
        </w:rPr>
        <w:t xml:space="preserve"> and the Smart Growth Partnership</w:t>
      </w:r>
      <w:r w:rsidR="008E21AB" w:rsidRPr="00E23F53">
        <w:rPr>
          <w:rFonts w:cstheme="minorHAnsi"/>
          <w:sz w:val="24"/>
          <w:szCs w:val="24"/>
        </w:rPr>
        <w:t xml:space="preserve">. </w:t>
      </w:r>
      <w:r w:rsidR="00A44CEA" w:rsidRPr="00E23F53">
        <w:rPr>
          <w:rFonts w:cstheme="minorHAnsi"/>
          <w:sz w:val="24"/>
          <w:szCs w:val="24"/>
        </w:rPr>
        <w:t xml:space="preserve"> </w:t>
      </w:r>
      <w:r w:rsidR="007068AC" w:rsidRPr="00E23F53">
        <w:rPr>
          <w:rFonts w:cstheme="minorHAnsi"/>
          <w:sz w:val="24"/>
          <w:szCs w:val="24"/>
        </w:rPr>
        <w:t xml:space="preserve">Efforts were guided </w:t>
      </w:r>
      <w:r w:rsidR="00297547" w:rsidRPr="00E23F53">
        <w:rPr>
          <w:rFonts w:cstheme="minorHAnsi"/>
          <w:sz w:val="24"/>
          <w:szCs w:val="24"/>
        </w:rPr>
        <w:t>with</w:t>
      </w:r>
      <w:r w:rsidR="007068AC" w:rsidRPr="00E23F53">
        <w:rPr>
          <w:rFonts w:cstheme="minorHAnsi"/>
          <w:sz w:val="24"/>
          <w:szCs w:val="24"/>
        </w:rPr>
        <w:t xml:space="preserve"> the assistance of the Broward MPO’s Broward Complete Streets </w:t>
      </w:r>
      <w:r w:rsidR="00297547" w:rsidRPr="00E23F53">
        <w:rPr>
          <w:rFonts w:cstheme="minorHAnsi"/>
          <w:sz w:val="24"/>
          <w:szCs w:val="24"/>
        </w:rPr>
        <w:t>Technical Advisory Committee</w:t>
      </w:r>
      <w:r w:rsidR="007068AC" w:rsidRPr="00E23F53">
        <w:rPr>
          <w:rFonts w:cstheme="minorHAnsi"/>
          <w:sz w:val="24"/>
          <w:szCs w:val="24"/>
        </w:rPr>
        <w:t>.</w:t>
      </w:r>
    </w:p>
    <w:p w:rsidR="008E21AB" w:rsidRDefault="008E21AB" w:rsidP="00AA3026">
      <w:pPr>
        <w:jc w:val="center"/>
        <w:rPr>
          <w:rFonts w:cstheme="minorHAnsi"/>
          <w:sz w:val="20"/>
          <w:szCs w:val="20"/>
        </w:rPr>
      </w:pPr>
    </w:p>
    <w:p w:rsidR="00B57B17" w:rsidRDefault="00B57B17" w:rsidP="00AA3026">
      <w:pPr>
        <w:jc w:val="center"/>
        <w:rPr>
          <w:rFonts w:cstheme="minorHAnsi"/>
          <w:sz w:val="20"/>
          <w:szCs w:val="20"/>
        </w:rPr>
      </w:pPr>
      <w:r>
        <w:rPr>
          <w:rFonts w:cstheme="minorHAnsi"/>
          <w:noProof/>
          <w:sz w:val="20"/>
          <w:szCs w:val="20"/>
        </w:rPr>
        <w:drawing>
          <wp:inline distT="0" distB="0" distL="0" distR="0">
            <wp:extent cx="2100580" cy="732959"/>
            <wp:effectExtent l="25400" t="0" r="7620" b="0"/>
            <wp:docPr id="1" name="Picture 1" descr=":TOUCH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TOUCH logo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273" cy="734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21AB" w:rsidRDefault="00B57B17" w:rsidP="00AA3026">
      <w:pPr>
        <w:jc w:val="center"/>
        <w:rPr>
          <w:rFonts w:cstheme="minorHAnsi"/>
          <w:sz w:val="20"/>
          <w:szCs w:val="20"/>
        </w:rPr>
      </w:pPr>
      <w:r>
        <w:rPr>
          <w:rFonts w:cstheme="minorHAnsi"/>
          <w:noProof/>
          <w:sz w:val="20"/>
          <w:szCs w:val="20"/>
        </w:rPr>
        <w:drawing>
          <wp:inline distT="0" distB="0" distL="0" distR="0">
            <wp:extent cx="1328420" cy="713276"/>
            <wp:effectExtent l="25400" t="0" r="0" b="0"/>
            <wp:docPr id="2" name="Picture 2" descr=":BRHPC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BRHPC logo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304" cy="71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7B17">
        <w:rPr>
          <w:rFonts w:cstheme="minorHAnsi"/>
          <w:noProof/>
          <w:sz w:val="20"/>
          <w:szCs w:val="20"/>
        </w:rPr>
        <w:drawing>
          <wp:inline distT="0" distB="0" distL="0" distR="0">
            <wp:extent cx="1590040" cy="645115"/>
            <wp:effectExtent l="25400" t="0" r="10160" b="0"/>
            <wp:docPr id="4" name="Picture 3" descr=":mp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:mpo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921" cy="64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7B17">
        <w:rPr>
          <w:rFonts w:cstheme="minorHAnsi"/>
          <w:noProof/>
          <w:sz w:val="20"/>
          <w:szCs w:val="20"/>
        </w:rPr>
        <w:drawing>
          <wp:inline distT="0" distB="0" distL="0" distR="0">
            <wp:extent cx="1176020" cy="614622"/>
            <wp:effectExtent l="25400" t="0" r="0" b="0"/>
            <wp:docPr id="7" name="Picture 4" descr=":uh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:uhp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525" cy="616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3026">
        <w:rPr>
          <w:rFonts w:cstheme="minorHAnsi"/>
          <w:sz w:val="20"/>
          <w:szCs w:val="20"/>
        </w:rPr>
        <w:t xml:space="preserve">    </w:t>
      </w:r>
      <w:r>
        <w:rPr>
          <w:rFonts w:cstheme="minorHAnsi"/>
          <w:noProof/>
          <w:sz w:val="20"/>
          <w:szCs w:val="20"/>
        </w:rPr>
        <w:drawing>
          <wp:inline distT="0" distB="0" distL="0" distR="0">
            <wp:extent cx="1427480" cy="535940"/>
            <wp:effectExtent l="25400" t="0" r="0" b="0"/>
            <wp:docPr id="6" name="Picture 5" descr=":SmartGrowth-logo copy-interlac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:SmartGrowth-logo copy-interlaced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-28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21AB" w:rsidRDefault="008E21AB" w:rsidP="0052220A">
      <w:pPr>
        <w:rPr>
          <w:rFonts w:cstheme="minorHAnsi"/>
          <w:sz w:val="20"/>
          <w:szCs w:val="20"/>
        </w:rPr>
      </w:pPr>
    </w:p>
    <w:p w:rsidR="008E21AB" w:rsidRDefault="008E21AB" w:rsidP="00232083">
      <w:pPr>
        <w:rPr>
          <w:rFonts w:cstheme="minorHAnsi"/>
          <w:sz w:val="24"/>
          <w:szCs w:val="24"/>
        </w:rPr>
      </w:pPr>
      <w:r w:rsidRPr="00E23F53">
        <w:rPr>
          <w:rFonts w:cstheme="minorHAnsi"/>
          <w:sz w:val="24"/>
          <w:szCs w:val="24"/>
        </w:rPr>
        <w:t xml:space="preserve">Customization of the </w:t>
      </w:r>
      <w:r w:rsidR="00A44CEA" w:rsidRPr="00E23F53">
        <w:rPr>
          <w:rFonts w:cstheme="minorHAnsi"/>
          <w:i/>
          <w:sz w:val="24"/>
          <w:szCs w:val="24"/>
        </w:rPr>
        <w:t>Broward Complete Streets Guidelines</w:t>
      </w:r>
      <w:r w:rsidRPr="00E23F53">
        <w:rPr>
          <w:rFonts w:cstheme="minorHAnsi"/>
          <w:sz w:val="24"/>
          <w:szCs w:val="24"/>
        </w:rPr>
        <w:t xml:space="preserve"> to reflect </w:t>
      </w:r>
      <w:r w:rsidR="00A44CEA" w:rsidRPr="00E23F53">
        <w:rPr>
          <w:rFonts w:cstheme="minorHAnsi"/>
          <w:sz w:val="24"/>
          <w:szCs w:val="24"/>
        </w:rPr>
        <w:t xml:space="preserve">local conditions, </w:t>
      </w:r>
      <w:r w:rsidRPr="00E23F53">
        <w:rPr>
          <w:rFonts w:cstheme="minorHAnsi"/>
          <w:sz w:val="24"/>
          <w:szCs w:val="24"/>
        </w:rPr>
        <w:t xml:space="preserve">Florida State </w:t>
      </w:r>
      <w:r w:rsidR="00A44CEA" w:rsidRPr="00E23F53">
        <w:rPr>
          <w:rFonts w:cstheme="minorHAnsi"/>
          <w:sz w:val="24"/>
          <w:szCs w:val="24"/>
        </w:rPr>
        <w:t>S</w:t>
      </w:r>
      <w:r w:rsidRPr="00E23F53">
        <w:rPr>
          <w:rFonts w:cstheme="minorHAnsi"/>
          <w:sz w:val="24"/>
          <w:szCs w:val="24"/>
        </w:rPr>
        <w:t>tatute</w:t>
      </w:r>
      <w:r w:rsidR="00297547" w:rsidRPr="00E23F53">
        <w:rPr>
          <w:rFonts w:cstheme="minorHAnsi"/>
          <w:sz w:val="24"/>
          <w:szCs w:val="24"/>
        </w:rPr>
        <w:t xml:space="preserve">s, </w:t>
      </w:r>
      <w:r w:rsidR="00E23F53">
        <w:rPr>
          <w:rFonts w:cstheme="minorHAnsi"/>
          <w:sz w:val="24"/>
          <w:szCs w:val="24"/>
        </w:rPr>
        <w:t>Florida</w:t>
      </w:r>
      <w:r w:rsidR="00297547" w:rsidRPr="00E23F53">
        <w:rPr>
          <w:rFonts w:cstheme="minorHAnsi"/>
          <w:sz w:val="24"/>
          <w:szCs w:val="24"/>
        </w:rPr>
        <w:t xml:space="preserve"> </w:t>
      </w:r>
      <w:r w:rsidR="00A44CEA" w:rsidRPr="00E23F53">
        <w:rPr>
          <w:rFonts w:cstheme="minorHAnsi"/>
          <w:sz w:val="24"/>
          <w:szCs w:val="24"/>
        </w:rPr>
        <w:t>design criteria,</w:t>
      </w:r>
      <w:r w:rsidR="00297547" w:rsidRPr="00E23F53">
        <w:rPr>
          <w:rFonts w:cstheme="minorHAnsi"/>
          <w:sz w:val="24"/>
          <w:szCs w:val="24"/>
        </w:rPr>
        <w:t xml:space="preserve"> </w:t>
      </w:r>
      <w:r w:rsidRPr="00E23F53">
        <w:rPr>
          <w:rFonts w:cstheme="minorHAnsi"/>
          <w:sz w:val="24"/>
          <w:szCs w:val="24"/>
        </w:rPr>
        <w:t>and Broward County standards was conducted by:</w:t>
      </w:r>
    </w:p>
    <w:p w:rsidR="00B310E3" w:rsidRPr="00E23F53" w:rsidRDefault="00B310E3" w:rsidP="00232083">
      <w:pPr>
        <w:rPr>
          <w:rFonts w:cstheme="minorHAnsi"/>
          <w:sz w:val="24"/>
          <w:szCs w:val="24"/>
        </w:rPr>
      </w:pPr>
    </w:p>
    <w:p w:rsidR="008E21AB" w:rsidRDefault="00B310E3" w:rsidP="00232083">
      <w:pPr>
        <w:jc w:val="center"/>
        <w:rPr>
          <w:rFonts w:cstheme="minorHAnsi"/>
          <w:sz w:val="20"/>
          <w:szCs w:val="20"/>
        </w:rPr>
      </w:pPr>
      <w:r>
        <w:rPr>
          <w:rFonts w:cstheme="minorHAnsi"/>
          <w:noProof/>
          <w:sz w:val="20"/>
          <w:szCs w:val="20"/>
        </w:rPr>
        <w:drawing>
          <wp:inline distT="0" distB="0" distL="0" distR="0">
            <wp:extent cx="2514600" cy="374503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m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7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083" w:rsidRDefault="00232083" w:rsidP="0052220A">
      <w:pPr>
        <w:rPr>
          <w:rFonts w:cstheme="minorHAnsi"/>
          <w:sz w:val="20"/>
          <w:szCs w:val="20"/>
        </w:rPr>
      </w:pPr>
    </w:p>
    <w:p w:rsidR="008E21AB" w:rsidRPr="00F21B84" w:rsidRDefault="008E21AB" w:rsidP="0052220A">
      <w:pPr>
        <w:rPr>
          <w:rFonts w:cstheme="minorHAnsi"/>
          <w:sz w:val="20"/>
          <w:szCs w:val="20"/>
        </w:rPr>
      </w:pPr>
    </w:p>
    <w:p w:rsidR="008E21AB" w:rsidRPr="00E23F53" w:rsidRDefault="008E21AB" w:rsidP="00F21B84">
      <w:pPr>
        <w:pStyle w:val="ListParagraph"/>
        <w:ind w:left="0"/>
        <w:jc w:val="center"/>
        <w:rPr>
          <w:rFonts w:cstheme="minorHAnsi"/>
          <w:i/>
          <w:sz w:val="24"/>
          <w:szCs w:val="24"/>
        </w:rPr>
      </w:pPr>
      <w:r w:rsidRPr="00E23F53">
        <w:rPr>
          <w:i/>
          <w:sz w:val="24"/>
          <w:szCs w:val="24"/>
        </w:rPr>
        <w:t>This publication was supported by the Cooperative Agreement Award Number U</w:t>
      </w:r>
      <w:r w:rsidR="00A44CEA" w:rsidRPr="00E23F53">
        <w:rPr>
          <w:i/>
          <w:sz w:val="24"/>
          <w:szCs w:val="24"/>
        </w:rPr>
        <w:t xml:space="preserve">58DP003661-01 from the Centers </w:t>
      </w:r>
      <w:r w:rsidRPr="00E23F53">
        <w:rPr>
          <w:i/>
          <w:sz w:val="24"/>
          <w:szCs w:val="24"/>
        </w:rPr>
        <w:t>f</w:t>
      </w:r>
      <w:r w:rsidR="00A44CEA" w:rsidRPr="00E23F53">
        <w:rPr>
          <w:i/>
          <w:sz w:val="24"/>
          <w:szCs w:val="24"/>
        </w:rPr>
        <w:t>or</w:t>
      </w:r>
      <w:r w:rsidRPr="00E23F53">
        <w:rPr>
          <w:i/>
          <w:sz w:val="24"/>
          <w:szCs w:val="24"/>
        </w:rPr>
        <w:t xml:space="preserve"> Disease Control and Prevention. </w:t>
      </w:r>
      <w:r w:rsidR="00A44CEA" w:rsidRPr="00E23F53">
        <w:rPr>
          <w:i/>
          <w:sz w:val="24"/>
          <w:szCs w:val="24"/>
        </w:rPr>
        <w:t xml:space="preserve"> </w:t>
      </w:r>
      <w:r w:rsidRPr="00E23F53">
        <w:rPr>
          <w:i/>
          <w:sz w:val="24"/>
          <w:szCs w:val="24"/>
        </w:rPr>
        <w:t xml:space="preserve">Its contents are solely the responsibility of the authors and do not necessarily reflect the </w:t>
      </w:r>
      <w:r w:rsidR="00A44CEA" w:rsidRPr="00E23F53">
        <w:rPr>
          <w:i/>
          <w:sz w:val="24"/>
          <w:szCs w:val="24"/>
        </w:rPr>
        <w:t>official views of the Centers for</w:t>
      </w:r>
      <w:r w:rsidRPr="00E23F53">
        <w:rPr>
          <w:i/>
          <w:sz w:val="24"/>
          <w:szCs w:val="24"/>
        </w:rPr>
        <w:t xml:space="preserve"> Disease Control and Prevention.</w:t>
      </w:r>
    </w:p>
    <w:sectPr w:rsidR="008E21AB" w:rsidRPr="00E23F53" w:rsidSect="0099490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53C7"/>
    <w:rsid w:val="00232083"/>
    <w:rsid w:val="00297547"/>
    <w:rsid w:val="00392DCA"/>
    <w:rsid w:val="00403708"/>
    <w:rsid w:val="00465A51"/>
    <w:rsid w:val="0052220A"/>
    <w:rsid w:val="007068AC"/>
    <w:rsid w:val="007779DB"/>
    <w:rsid w:val="008E21AB"/>
    <w:rsid w:val="00994900"/>
    <w:rsid w:val="00A44CEA"/>
    <w:rsid w:val="00A96D79"/>
    <w:rsid w:val="00AA3026"/>
    <w:rsid w:val="00AC797F"/>
    <w:rsid w:val="00B310E3"/>
    <w:rsid w:val="00B57B17"/>
    <w:rsid w:val="00E23F53"/>
    <w:rsid w:val="00E5324B"/>
    <w:rsid w:val="00ED53C7"/>
    <w:rsid w:val="00F21B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2D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2DC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21AB"/>
    <w:pPr>
      <w:ind w:left="720"/>
      <w:contextualSpacing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2D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2DC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21AB"/>
    <w:pPr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278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194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Kimley-Horn and Associates</Company>
  <LinksUpToDate>false</LinksUpToDate>
  <CharactersWithSpaces>1302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Patrice</dc:creator>
  <cp:lastModifiedBy>Robertson, Stewart</cp:lastModifiedBy>
  <cp:revision>4</cp:revision>
  <dcterms:created xsi:type="dcterms:W3CDTF">2012-07-26T08:25:00Z</dcterms:created>
  <dcterms:modified xsi:type="dcterms:W3CDTF">2012-07-26T19:03:00Z</dcterms:modified>
</cp:coreProperties>
</file>